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07C6" w14:textId="77777777" w:rsidR="00A44E8F" w:rsidRPr="00CB26CA" w:rsidRDefault="00A44E8F" w:rsidP="00A4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0"/>
          <w:lang w:val="en-US"/>
        </w:rPr>
        <w:t>The Gaming Disorder Test (GDT)</w:t>
      </w:r>
      <w:r w:rsidR="00663D0D">
        <w:rPr>
          <w:rFonts w:ascii="Times New Roman" w:hAnsi="Times New Roman"/>
          <w:b/>
          <w:bCs/>
          <w:sz w:val="24"/>
          <w:szCs w:val="20"/>
          <w:lang w:val="en-US"/>
        </w:rPr>
        <w:t xml:space="preserve"> (Pontes et al., 2019)</w:t>
      </w:r>
    </w:p>
    <w:p w14:paraId="29BCF786" w14:textId="77777777" w:rsidR="00A44E8F" w:rsidRDefault="00A44E8F" w:rsidP="00A4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</w:p>
    <w:p w14:paraId="517089D3" w14:textId="77777777" w:rsidR="00A44E8F" w:rsidRPr="00CB26CA" w:rsidRDefault="00663D0D" w:rsidP="00521CE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lang w:val="en-US"/>
        </w:rPr>
      </w:pPr>
      <w:r w:rsidRPr="00663D0D">
        <w:rPr>
          <w:rFonts w:ascii="Times New Roman" w:hAnsi="Times New Roman"/>
          <w:b/>
          <w:bCs/>
          <w:i/>
          <w:lang w:val="en-US"/>
        </w:rPr>
        <w:t>Instructions</w:t>
      </w:r>
      <w:r>
        <w:rPr>
          <w:rFonts w:ascii="Times New Roman" w:hAnsi="Times New Roman"/>
          <w:bCs/>
          <w:lang w:val="en-US"/>
        </w:rPr>
        <w:t xml:space="preserve">: </w:t>
      </w:r>
      <w:r w:rsidR="00A44E8F" w:rsidRPr="00AC7F54">
        <w:rPr>
          <w:rFonts w:ascii="Times New Roman" w:hAnsi="Times New Roman"/>
          <w:bCs/>
          <w:lang w:val="en-US"/>
        </w:rPr>
        <w:t>The questions below are about your gaming activity during the past year (i.e., last 12 months). Here, gaming activity means any gaming-related activity that has been played either from a computer/laptop or from a gaming console or any other kind of device (e.g., mobile phone, tablet, etc.) both online and/or offline.</w:t>
      </w:r>
    </w:p>
    <w:p w14:paraId="65643BB1" w14:textId="77777777" w:rsidR="00A44E8F" w:rsidRPr="00CB26CA" w:rsidRDefault="00A44E8F" w:rsidP="00A4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11285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940"/>
        <w:gridCol w:w="1350"/>
        <w:gridCol w:w="630"/>
        <w:gridCol w:w="1260"/>
        <w:gridCol w:w="990"/>
        <w:gridCol w:w="1115"/>
      </w:tblGrid>
      <w:tr w:rsidR="00A44E8F" w:rsidRPr="00CB26CA" w14:paraId="7DAAE495" w14:textId="77777777" w:rsidTr="00A5192B">
        <w:trPr>
          <w:trHeight w:val="188"/>
          <w:tblHeader/>
          <w:jc w:val="center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152DF8C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56ED6D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Never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8DF5A31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Rarely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9403B5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Sometimes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5F24E6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Often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551765D8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Very Often</w:t>
            </w:r>
          </w:p>
        </w:tc>
      </w:tr>
      <w:tr w:rsidR="00A5192B" w:rsidRPr="00CB26CA" w14:paraId="06B88BCC" w14:textId="77777777" w:rsidTr="00A5192B">
        <w:tblPrEx>
          <w:tblCellMar>
            <w:left w:w="12" w:type="dxa"/>
            <w:right w:w="12" w:type="dxa"/>
          </w:tblCellMar>
        </w:tblPrEx>
        <w:trPr>
          <w:trHeight w:val="306"/>
          <w:jc w:val="center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</w:tcPr>
          <w:p w14:paraId="20103585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AC7F54">
              <w:rPr>
                <w:rFonts w:ascii="Times New Roman" w:hAnsi="Times New Roman"/>
                <w:lang w:val="en-US"/>
              </w:rPr>
              <w:t>1. I have difficulties controlling my gaming activity.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28E1FFDE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E650072" wp14:editId="33CF0F19">
                  <wp:extent cx="123825" cy="12382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0121A53E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9830B53" wp14:editId="23562F71">
                  <wp:extent cx="123825" cy="12382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02CCFAD8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C66D60C" wp14:editId="502E5596">
                  <wp:extent cx="123825" cy="12382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0CBFD03E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C96436C" wp14:editId="4BA5373D">
                  <wp:extent cx="123825" cy="12382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35A49A19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C44F10F" wp14:editId="1BE09462">
                  <wp:extent cx="123825" cy="12382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E8F" w:rsidRPr="00CB26CA" w14:paraId="7267B7B6" w14:textId="77777777" w:rsidTr="00A5192B">
        <w:tblPrEx>
          <w:tblCellMar>
            <w:left w:w="12" w:type="dxa"/>
            <w:right w:w="12" w:type="dxa"/>
          </w:tblCellMar>
        </w:tblPrEx>
        <w:trPr>
          <w:trHeight w:val="306"/>
          <w:jc w:val="center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70D7BBE4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AC7F54">
              <w:rPr>
                <w:rFonts w:ascii="Times New Roman" w:hAnsi="Times New Roman"/>
                <w:lang w:val="en-US"/>
              </w:rPr>
              <w:t>2. I have given increasing priority to gaming over other life interests and daily activities.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00F2B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1A93577" wp14:editId="2374E31C">
                  <wp:extent cx="123825" cy="12382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2A97B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6396A95" wp14:editId="73BAC5EB">
                  <wp:extent cx="123825" cy="12382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CAAC0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F47C8DF" wp14:editId="5FF200A1">
                  <wp:extent cx="123825" cy="12382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F6423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20F16B9" wp14:editId="77E7A92B">
                  <wp:extent cx="123825" cy="1238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16B22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D51E164" wp14:editId="19407C18">
                  <wp:extent cx="123825" cy="12382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92B" w:rsidRPr="00CB26CA" w14:paraId="177D5163" w14:textId="77777777" w:rsidTr="00A5192B">
        <w:tblPrEx>
          <w:tblCellMar>
            <w:left w:w="12" w:type="dxa"/>
            <w:right w:w="12" w:type="dxa"/>
          </w:tblCellMar>
        </w:tblPrEx>
        <w:trPr>
          <w:trHeight w:val="306"/>
          <w:jc w:val="center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</w:tcPr>
          <w:p w14:paraId="0FFFC272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AC7F54">
              <w:rPr>
                <w:rFonts w:ascii="Times New Roman" w:hAnsi="Times New Roman"/>
                <w:lang w:val="en-US"/>
              </w:rPr>
              <w:t>3. I have continued gaming despite the occurrence of negative consequences.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61D356AB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9E55220" wp14:editId="4D8C7250">
                  <wp:extent cx="123825" cy="12382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03B0D45D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00A34FD" wp14:editId="429FA427">
                  <wp:extent cx="123825" cy="1238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31CF9907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16948A2" wp14:editId="3F1427DF">
                  <wp:extent cx="123825" cy="1238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042E5F96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34A789F" wp14:editId="5B022C33">
                  <wp:extent cx="123825" cy="1238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0215C042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D668275" wp14:editId="60A7C2DB">
                  <wp:extent cx="123825" cy="1238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E8F" w:rsidRPr="00CB26CA" w14:paraId="5C7A4BD5" w14:textId="77777777" w:rsidTr="00A5192B">
        <w:tblPrEx>
          <w:tblCellMar>
            <w:left w:w="12" w:type="dxa"/>
            <w:right w:w="12" w:type="dxa"/>
          </w:tblCellMar>
        </w:tblPrEx>
        <w:trPr>
          <w:trHeight w:val="306"/>
          <w:jc w:val="center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3DA7F94A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AC7F54">
              <w:rPr>
                <w:rFonts w:ascii="Times New Roman" w:hAnsi="Times New Roman"/>
                <w:lang w:val="en-US"/>
              </w:rPr>
              <w:t>4. I have experienced significant problems in life (e.g., personal, family, social,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AC7F54">
              <w:rPr>
                <w:rFonts w:ascii="Times New Roman" w:hAnsi="Times New Roman"/>
                <w:lang w:val="en-US"/>
              </w:rPr>
              <w:t>education, occupational) due to the severity of my gaming behavior.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370CF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EEB2B3F" wp14:editId="3EE6C1A4">
                  <wp:extent cx="123825" cy="1238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BA8BD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59F7B6F" wp14:editId="424F1669">
                  <wp:extent cx="123825" cy="1238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53818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F1B7FC0" wp14:editId="0D00DF24">
                  <wp:extent cx="123825" cy="1238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5DDF8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57D1B40" wp14:editId="5B8B68C6">
                  <wp:extent cx="123825" cy="1238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12021" w14:textId="77777777" w:rsidR="00A44E8F" w:rsidRPr="00CB26CA" w:rsidRDefault="00A44E8F" w:rsidP="000059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E3F5DF5" wp14:editId="3004344E">
                  <wp:extent cx="123825" cy="1238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BC0CE9" w14:textId="77777777" w:rsidR="00A5192B" w:rsidRDefault="00A5192B" w:rsidP="00A44E8F">
      <w:pPr>
        <w:spacing w:line="360" w:lineRule="auto"/>
        <w:jc w:val="both"/>
        <w:rPr>
          <w:rFonts w:ascii="Times New Roman" w:hAnsi="Times New Roman"/>
          <w:b/>
          <w:lang w:val="en-US"/>
        </w:rPr>
      </w:pPr>
    </w:p>
    <w:p w14:paraId="7B481B03" w14:textId="77777777" w:rsidR="00A5192B" w:rsidRDefault="00A5192B" w:rsidP="00A44E8F">
      <w:pPr>
        <w:spacing w:line="360" w:lineRule="auto"/>
        <w:jc w:val="both"/>
        <w:rPr>
          <w:rFonts w:ascii="Times New Roman" w:hAnsi="Times New Roman"/>
          <w:b/>
          <w:lang w:val="en-US"/>
        </w:rPr>
      </w:pPr>
    </w:p>
    <w:p w14:paraId="1841302A" w14:textId="77777777" w:rsidR="00A44E8F" w:rsidRPr="003564E1" w:rsidRDefault="00A44E8F" w:rsidP="00A44E8F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3564E1">
        <w:rPr>
          <w:rFonts w:ascii="Times New Roman" w:hAnsi="Times New Roman"/>
          <w:b/>
          <w:lang w:val="en-US"/>
        </w:rPr>
        <w:t>Scoring information:</w:t>
      </w:r>
    </w:p>
    <w:p w14:paraId="17E1684B" w14:textId="77777777" w:rsidR="00A44E8F" w:rsidRDefault="00A44E8F" w:rsidP="00521CE1">
      <w:pPr>
        <w:spacing w:line="480" w:lineRule="auto"/>
        <w:jc w:val="both"/>
        <w:rPr>
          <w:rFonts w:ascii="Times New Roman" w:hAnsi="Times New Roman"/>
          <w:lang w:val="en-US"/>
        </w:rPr>
      </w:pPr>
      <w:r w:rsidRPr="003564E1">
        <w:rPr>
          <w:rFonts w:ascii="Times New Roman" w:hAnsi="Times New Roman"/>
          <w:lang w:val="en-US"/>
        </w:rPr>
        <w:t xml:space="preserve">Total scores can </w:t>
      </w:r>
      <w:r>
        <w:rPr>
          <w:rFonts w:ascii="Times New Roman" w:hAnsi="Times New Roman"/>
          <w:lang w:val="en-US"/>
        </w:rPr>
        <w:t xml:space="preserve">be obtained by summing up all responses given to all four items of the GDT and can </w:t>
      </w:r>
      <w:r w:rsidRPr="003564E1">
        <w:rPr>
          <w:rFonts w:ascii="Times New Roman" w:hAnsi="Times New Roman"/>
          <w:lang w:val="en-US"/>
        </w:rPr>
        <w:t xml:space="preserve">range from </w:t>
      </w:r>
      <w:r>
        <w:rPr>
          <w:rFonts w:ascii="Times New Roman" w:hAnsi="Times New Roman"/>
          <w:lang w:val="en-US"/>
        </w:rPr>
        <w:t>a minimum of 4</w:t>
      </w:r>
      <w:r w:rsidRPr="003564E1">
        <w:rPr>
          <w:rFonts w:ascii="Times New Roman" w:hAnsi="Times New Roman"/>
          <w:lang w:val="en-US"/>
        </w:rPr>
        <w:t xml:space="preserve"> to </w:t>
      </w:r>
      <w:r>
        <w:rPr>
          <w:rFonts w:ascii="Times New Roman" w:hAnsi="Times New Roman"/>
          <w:lang w:val="en-US"/>
        </w:rPr>
        <w:t>a maximum of 20 points</w:t>
      </w:r>
      <w:r w:rsidRPr="003564E1">
        <w:rPr>
          <w:rFonts w:ascii="Times New Roman" w:hAnsi="Times New Roman"/>
          <w:lang w:val="en-US"/>
        </w:rPr>
        <w:t xml:space="preserve">, with higher scores being indicative of a higher degree of </w:t>
      </w:r>
      <w:r>
        <w:rPr>
          <w:rFonts w:ascii="Times New Roman" w:hAnsi="Times New Roman"/>
          <w:lang w:val="en-US"/>
        </w:rPr>
        <w:t>gaming disorder</w:t>
      </w:r>
      <w:r w:rsidRPr="003564E1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In order to differentiate disordered gamers from non-disordered gamers, researchers should check if participants have endorsed all four diagnostic criteria as assessed by each GDT items by taking into account answers as ‘4: Often’ or ‘5: Very often’, which translates as endorsement of the criterion.</w:t>
      </w:r>
    </w:p>
    <w:p w14:paraId="3D6ABF17" w14:textId="77777777" w:rsidR="00663D0D" w:rsidRDefault="00663D0D" w:rsidP="00A44E8F">
      <w:pPr>
        <w:spacing w:line="360" w:lineRule="auto"/>
        <w:jc w:val="both"/>
        <w:rPr>
          <w:rFonts w:ascii="Times New Roman" w:hAnsi="Times New Roman"/>
          <w:lang w:val="en-US"/>
        </w:rPr>
      </w:pPr>
    </w:p>
    <w:p w14:paraId="4331B7E3" w14:textId="77777777" w:rsidR="00663D0D" w:rsidRPr="003564E1" w:rsidRDefault="00521CE1" w:rsidP="00663D0D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References</w:t>
      </w:r>
      <w:r w:rsidR="00663D0D" w:rsidRPr="003564E1">
        <w:rPr>
          <w:rFonts w:ascii="Times New Roman" w:hAnsi="Times New Roman"/>
          <w:b/>
          <w:lang w:val="en-US"/>
        </w:rPr>
        <w:t>:</w:t>
      </w:r>
    </w:p>
    <w:p w14:paraId="656853D5" w14:textId="77777777" w:rsidR="00503359" w:rsidRDefault="00521CE1" w:rsidP="00521CE1">
      <w:pPr>
        <w:autoSpaceDE w:val="0"/>
        <w:autoSpaceDN w:val="0"/>
        <w:adjustRightInd w:val="0"/>
        <w:spacing w:after="0" w:line="480" w:lineRule="auto"/>
        <w:ind w:left="720" w:hanging="720"/>
        <w:jc w:val="both"/>
      </w:pPr>
      <w:r w:rsidRPr="00521CE1">
        <w:rPr>
          <w:rFonts w:ascii="Times New Roman" w:eastAsiaTheme="minorHAnsi" w:hAnsi="Times New Roman"/>
          <w:sz w:val="24"/>
          <w:szCs w:val="18"/>
          <w:lang w:val="en-US" w:eastAsia="en-US"/>
        </w:rPr>
        <w:t xml:space="preserve">Pontes, H. M., </w:t>
      </w:r>
      <w:proofErr w:type="spellStart"/>
      <w:r w:rsidRPr="00521CE1">
        <w:rPr>
          <w:rFonts w:ascii="Times New Roman" w:eastAsiaTheme="minorHAnsi" w:hAnsi="Times New Roman"/>
          <w:sz w:val="24"/>
          <w:szCs w:val="18"/>
          <w:lang w:val="en-US" w:eastAsia="en-US"/>
        </w:rPr>
        <w:t>Schivinski</w:t>
      </w:r>
      <w:proofErr w:type="spellEnd"/>
      <w:r w:rsidRPr="00521CE1">
        <w:rPr>
          <w:rFonts w:ascii="Times New Roman" w:eastAsiaTheme="minorHAnsi" w:hAnsi="Times New Roman"/>
          <w:sz w:val="24"/>
          <w:szCs w:val="18"/>
          <w:lang w:val="en-US" w:eastAsia="en-US"/>
        </w:rPr>
        <w:t xml:space="preserve">, B., </w:t>
      </w:r>
      <w:proofErr w:type="spellStart"/>
      <w:r w:rsidRPr="00521CE1">
        <w:rPr>
          <w:rFonts w:ascii="Times New Roman" w:eastAsiaTheme="minorHAnsi" w:hAnsi="Times New Roman"/>
          <w:sz w:val="24"/>
          <w:szCs w:val="18"/>
          <w:lang w:val="en-US" w:eastAsia="en-US"/>
        </w:rPr>
        <w:t>Sindermann</w:t>
      </w:r>
      <w:proofErr w:type="spellEnd"/>
      <w:r w:rsidRPr="00521CE1">
        <w:rPr>
          <w:rFonts w:ascii="Times New Roman" w:eastAsiaTheme="minorHAnsi" w:hAnsi="Times New Roman"/>
          <w:sz w:val="24"/>
          <w:szCs w:val="18"/>
          <w:lang w:val="en-US" w:eastAsia="en-US"/>
        </w:rPr>
        <w:t xml:space="preserve">, C., Li, M., Becker, B., Zhou, M., &amp; Montag, C. (2019). Measurement and conceptualization of Gaming Disorder according to the World Health Organization framework: The development of the Gaming Disorder Test. </w:t>
      </w:r>
      <w:r w:rsidRPr="00521CE1">
        <w:rPr>
          <w:rFonts w:ascii="Times New Roman" w:eastAsiaTheme="minorHAnsi" w:hAnsi="Times New Roman"/>
          <w:i/>
          <w:iCs/>
          <w:sz w:val="24"/>
          <w:szCs w:val="18"/>
          <w:lang w:val="en-US" w:eastAsia="en-US"/>
        </w:rPr>
        <w:t>International Journal of Mental Health and Addiction</w:t>
      </w:r>
      <w:r w:rsidRPr="00521CE1">
        <w:rPr>
          <w:rFonts w:ascii="Times New Roman" w:eastAsiaTheme="minorHAnsi" w:hAnsi="Times New Roman"/>
          <w:sz w:val="24"/>
          <w:szCs w:val="18"/>
          <w:lang w:val="en-US" w:eastAsia="en-US"/>
        </w:rPr>
        <w:t>. doi:10.1007/s11469-019-00088-z</w:t>
      </w:r>
    </w:p>
    <w:sectPr w:rsidR="00503359" w:rsidSect="002D1C4B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7C4F9" w14:textId="77777777" w:rsidR="0006494C" w:rsidRDefault="0006494C">
      <w:pPr>
        <w:spacing w:after="0" w:line="240" w:lineRule="auto"/>
      </w:pPr>
      <w:r>
        <w:separator/>
      </w:r>
    </w:p>
  </w:endnote>
  <w:endnote w:type="continuationSeparator" w:id="0">
    <w:p w14:paraId="4B848095" w14:textId="77777777" w:rsidR="0006494C" w:rsidRDefault="0006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E39E6" w14:textId="77777777" w:rsidR="00921827" w:rsidRDefault="00937F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0B83C" w14:textId="77777777" w:rsidR="0006494C" w:rsidRDefault="0006494C">
      <w:pPr>
        <w:spacing w:after="0" w:line="240" w:lineRule="auto"/>
      </w:pPr>
      <w:r>
        <w:separator/>
      </w:r>
    </w:p>
  </w:footnote>
  <w:footnote w:type="continuationSeparator" w:id="0">
    <w:p w14:paraId="156B8E78" w14:textId="77777777" w:rsidR="0006494C" w:rsidRDefault="0006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84566" w14:textId="77777777" w:rsidR="00921827" w:rsidRDefault="00937F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8F"/>
    <w:rsid w:val="0006494C"/>
    <w:rsid w:val="000C3A57"/>
    <w:rsid w:val="0024328C"/>
    <w:rsid w:val="00503359"/>
    <w:rsid w:val="00521CE1"/>
    <w:rsid w:val="00663D0D"/>
    <w:rsid w:val="008E7A57"/>
    <w:rsid w:val="00937F26"/>
    <w:rsid w:val="00A44E8F"/>
    <w:rsid w:val="00A5192B"/>
    <w:rsid w:val="00A8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C39C"/>
  <w15:chartTrackingRefBased/>
  <w15:docId w15:val="{CA4A0130-7EBD-4D6F-99A1-B133FEE7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4E8F"/>
    <w:pPr>
      <w:spacing w:after="160" w:line="259" w:lineRule="auto"/>
      <w:jc w:val="left"/>
    </w:pPr>
    <w:rPr>
      <w:rFonts w:asciiTheme="minorHAnsi" w:eastAsiaTheme="minorEastAsia" w:hAnsiTheme="minorHAnsi" w:cs="Times New Roman"/>
      <w:sz w:val="2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8F"/>
    <w:rPr>
      <w:rFonts w:ascii="Segoe UI" w:eastAsiaTheme="minorEastAsia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187DD0867EC4DADF51B95604AD4C9" ma:contentTypeVersion="12" ma:contentTypeDescription="Create a new document." ma:contentTypeScope="" ma:versionID="d2e7e008fa0b3331645ef3ad67c8ddbd">
  <xsd:schema xmlns:xsd="http://www.w3.org/2001/XMLSchema" xmlns:xs="http://www.w3.org/2001/XMLSchema" xmlns:p="http://schemas.microsoft.com/office/2006/metadata/properties" xmlns:ns2="dcd4e1ee-511d-4646-a74d-55f1211780de" xmlns:ns3="d2055eae-5cf9-4162-a0b6-76806b349d16" targetNamespace="http://schemas.microsoft.com/office/2006/metadata/properties" ma:root="true" ma:fieldsID="7dfdab0827f23ee4f639f43dabb2c6ee" ns2:_="" ns3:_="">
    <xsd:import namespace="dcd4e1ee-511d-4646-a74d-55f1211780de"/>
    <xsd:import namespace="d2055eae-5cf9-4162-a0b6-76806b349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e1ee-511d-4646-a74d-55f121178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55eae-5cf9-4162-a0b6-76806b349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A6CFA-6084-448D-B4C3-D7EF1EA38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4e1ee-511d-4646-a74d-55f1211780de"/>
    <ds:schemaRef ds:uri="d2055eae-5cf9-4162-a0b6-76806b349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6107CD-DC81-4654-9FD7-A19C46CB0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83EF2-5E15-4C78-9EC3-CB0D4B0BA1D4}">
  <ds:schemaRefs>
    <ds:schemaRef ds:uri="http://schemas.openxmlformats.org/package/2006/metadata/core-properties"/>
    <ds:schemaRef ds:uri="http://purl.org/dc/dcmitype/"/>
    <ds:schemaRef ds:uri="dcd4e1ee-511d-4646-a74d-55f1211780d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d2055eae-5cf9-4162-a0b6-76806b349d1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Halley Pontes</dc:creator>
  <cp:keywords/>
  <dc:description/>
  <cp:lastModifiedBy>Tana Russell</cp:lastModifiedBy>
  <cp:revision>2</cp:revision>
  <dcterms:created xsi:type="dcterms:W3CDTF">2020-04-23T18:34:00Z</dcterms:created>
  <dcterms:modified xsi:type="dcterms:W3CDTF">2020-04-23T18:34:00Z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0x010100A18187DD0867EC4DADF51B95604AD4C9</vt:lpwstr>
  </property>
</Properties>
</file>